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49B2" w:rsidRDefault="007C49B2">
      <w:pPr>
        <w:rPr>
          <w:sz w:val="8"/>
          <w:szCs w:val="8"/>
        </w:rPr>
      </w:pPr>
      <w:bookmarkStart w:id="0" w:name="_GoBack"/>
      <w:bookmarkEnd w:id="0"/>
    </w:p>
    <w:p w:rsidR="007C49B2" w:rsidRDefault="008E2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UNC Charlotte Suicide Prevention Training Programs for Faculty</w:t>
      </w:r>
    </w:p>
    <w:p w:rsidR="007C49B2" w:rsidRDefault="007C49B2">
      <w:pPr>
        <w:rPr>
          <w:i/>
        </w:rPr>
      </w:pPr>
    </w:p>
    <w:p w:rsidR="007C49B2" w:rsidRDefault="008E2A33">
      <w:pPr>
        <w:rPr>
          <w:i/>
        </w:rPr>
      </w:pPr>
      <w:r>
        <w:rPr>
          <w:i/>
        </w:rPr>
        <w:t>Information about all suicide prevention programs and initiatives, including how to register for the upcoming training opportunities, can be found at go.charlotte.edu/</w:t>
      </w:r>
      <w:proofErr w:type="spellStart"/>
      <w:r>
        <w:rPr>
          <w:i/>
        </w:rPr>
        <w:t>suicideprevention</w:t>
      </w:r>
      <w:proofErr w:type="spellEnd"/>
      <w:r>
        <w:rPr>
          <w:i/>
        </w:rPr>
        <w:t>.</w:t>
      </w:r>
    </w:p>
    <w:p w:rsidR="007C49B2" w:rsidRDefault="007C49B2">
      <w:pPr>
        <w:rPr>
          <w:i/>
          <w:sz w:val="14"/>
          <w:szCs w:val="14"/>
        </w:rPr>
      </w:pPr>
    </w:p>
    <w:tbl>
      <w:tblPr>
        <w:tblStyle w:val="a"/>
        <w:tblW w:w="106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945"/>
        <w:gridCol w:w="5085"/>
      </w:tblGrid>
      <w:tr w:rsidR="007C49B2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7C49B2">
            <w:pPr>
              <w:widowControl w:val="0"/>
              <w:spacing w:line="240" w:lineRule="auto"/>
              <w:rPr>
                <w:color w:val="202124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rPr>
                <w:color w:val="202124"/>
              </w:rPr>
            </w:pPr>
            <w:r>
              <w:rPr>
                <w:b/>
                <w:color w:val="202124"/>
              </w:rPr>
              <w:t>QUESTION, PERSUADE, REFER (QPR)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rPr>
                <w:color w:val="202124"/>
              </w:rPr>
            </w:pPr>
            <w:r>
              <w:rPr>
                <w:b/>
                <w:color w:val="202124"/>
              </w:rPr>
              <w:t>MENTAL HEALTH FIRST AID (MHFA)</w:t>
            </w:r>
          </w:p>
        </w:tc>
      </w:tr>
      <w:tr w:rsidR="007C49B2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widowControl w:val="0"/>
              <w:spacing w:line="240" w:lineRule="auto"/>
              <w:rPr>
                <w:color w:val="202124"/>
              </w:rPr>
            </w:pPr>
            <w:r>
              <w:rPr>
                <w:color w:val="202124"/>
              </w:rPr>
              <w:t>Program Overview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rPr>
                <w:color w:val="202124"/>
              </w:rPr>
            </w:pPr>
            <w:r>
              <w:rPr>
                <w:color w:val="202124"/>
              </w:rPr>
              <w:t>Teaches individuals how to recognize the warning signs of suicide, including verbal, behavioral, and situational clues. The training provides guidelines on how to Question a p</w:t>
            </w:r>
            <w:r>
              <w:rPr>
                <w:color w:val="202124"/>
              </w:rPr>
              <w:t xml:space="preserve">erson about suicidal thoughts, </w:t>
            </w:r>
            <w:proofErr w:type="gramStart"/>
            <w:r>
              <w:rPr>
                <w:color w:val="202124"/>
              </w:rPr>
              <w:t>Persuade</w:t>
            </w:r>
            <w:proofErr w:type="gramEnd"/>
            <w:r>
              <w:rPr>
                <w:color w:val="202124"/>
              </w:rPr>
              <w:t xml:space="preserve"> them to get help, and Refer them to campus and/or local resources.</w:t>
            </w:r>
          </w:p>
          <w:p w:rsidR="007C49B2" w:rsidRDefault="007C49B2">
            <w:pPr>
              <w:widowControl w:val="0"/>
              <w:spacing w:line="240" w:lineRule="auto"/>
              <w:rPr>
                <w:color w:val="2021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rPr>
                <w:color w:val="202124"/>
              </w:rPr>
            </w:pPr>
            <w:r>
              <w:rPr>
                <w:color w:val="202124"/>
              </w:rPr>
              <w:t>A public education program that introduces participants to risk factors and warning signs of mental illnesses and substance use, builds understandin</w:t>
            </w:r>
            <w:r>
              <w:rPr>
                <w:color w:val="202124"/>
              </w:rPr>
              <w:t>g of their impact, and overviews common supports. This course demonstrates how to offer initial help in a mental health crisis and connect persons to the appropriate professional, peer, social, and self-help care.</w:t>
            </w:r>
          </w:p>
        </w:tc>
      </w:tr>
      <w:tr w:rsidR="007C49B2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widowControl w:val="0"/>
              <w:spacing w:line="240" w:lineRule="auto"/>
              <w:rPr>
                <w:color w:val="202124"/>
              </w:rPr>
            </w:pPr>
            <w:r>
              <w:rPr>
                <w:color w:val="202124"/>
              </w:rPr>
              <w:t>Duration of Training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widowControl w:val="0"/>
              <w:spacing w:line="240" w:lineRule="auto"/>
              <w:rPr>
                <w:color w:val="202124"/>
              </w:rPr>
            </w:pPr>
            <w:r>
              <w:rPr>
                <w:color w:val="202124"/>
              </w:rPr>
              <w:t>90 Minutes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widowControl w:val="0"/>
              <w:spacing w:line="240" w:lineRule="auto"/>
              <w:rPr>
                <w:color w:val="202124"/>
              </w:rPr>
            </w:pPr>
            <w:r>
              <w:rPr>
                <w:color w:val="202124"/>
              </w:rPr>
              <w:t>8 hours</w:t>
            </w:r>
          </w:p>
          <w:p w:rsidR="007C49B2" w:rsidRDefault="008E2A33">
            <w:pPr>
              <w:widowControl w:val="0"/>
              <w:spacing w:line="240" w:lineRule="auto"/>
              <w:rPr>
                <w:color w:val="202124"/>
              </w:rPr>
            </w:pPr>
            <w:r>
              <w:rPr>
                <w:color w:val="202124"/>
              </w:rPr>
              <w:t>(2 hours Self-paced course +6 hours Instructor Led Content)</w:t>
            </w:r>
          </w:p>
        </w:tc>
      </w:tr>
      <w:tr w:rsidR="007C49B2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widowControl w:val="0"/>
              <w:spacing w:line="240" w:lineRule="auto"/>
              <w:rPr>
                <w:color w:val="202124"/>
              </w:rPr>
            </w:pPr>
            <w:r>
              <w:rPr>
                <w:color w:val="202124"/>
              </w:rPr>
              <w:t>AY21-22 Participants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numPr>
                <w:ilvl w:val="0"/>
                <w:numId w:val="2"/>
              </w:numPr>
              <w:rPr>
                <w:color w:val="202124"/>
              </w:rPr>
            </w:pPr>
            <w:r>
              <w:rPr>
                <w:color w:val="202124"/>
              </w:rPr>
              <w:t>AY21-</w:t>
            </w:r>
            <w:proofErr w:type="gramStart"/>
            <w:r>
              <w:rPr>
                <w:color w:val="202124"/>
              </w:rPr>
              <w:t>22  434</w:t>
            </w:r>
            <w:proofErr w:type="gramEnd"/>
            <w:r>
              <w:rPr>
                <w:color w:val="202124"/>
              </w:rPr>
              <w:t xml:space="preserve"> community members trained</w:t>
            </w:r>
          </w:p>
          <w:p w:rsidR="007C49B2" w:rsidRDefault="008E2A33">
            <w:pPr>
              <w:numPr>
                <w:ilvl w:val="1"/>
                <w:numId w:val="2"/>
              </w:numPr>
              <w:rPr>
                <w:color w:val="202124"/>
              </w:rPr>
            </w:pPr>
            <w:r>
              <w:rPr>
                <w:color w:val="202124"/>
              </w:rPr>
              <w:t>135 of participants were faculty or staff members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numPr>
                <w:ilvl w:val="0"/>
                <w:numId w:val="1"/>
              </w:numPr>
              <w:rPr>
                <w:color w:val="202124"/>
              </w:rPr>
            </w:pPr>
            <w:r>
              <w:rPr>
                <w:color w:val="202124"/>
              </w:rPr>
              <w:t>AY21-22 148 community members certified</w:t>
            </w:r>
          </w:p>
          <w:p w:rsidR="007C49B2" w:rsidRDefault="008E2A33">
            <w:pPr>
              <w:numPr>
                <w:ilvl w:val="1"/>
                <w:numId w:val="1"/>
              </w:numPr>
              <w:rPr>
                <w:color w:val="202124"/>
              </w:rPr>
            </w:pPr>
            <w:r>
              <w:rPr>
                <w:color w:val="202124"/>
              </w:rPr>
              <w:t>46 faculty and staff members certified</w:t>
            </w:r>
          </w:p>
        </w:tc>
      </w:tr>
      <w:tr w:rsidR="007C49B2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widowControl w:val="0"/>
              <w:spacing w:line="240" w:lineRule="auto"/>
              <w:rPr>
                <w:color w:val="202124"/>
              </w:rPr>
            </w:pPr>
            <w:r>
              <w:rPr>
                <w:color w:val="202124"/>
              </w:rPr>
              <w:t>Partnerships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numPr>
                <w:ilvl w:val="0"/>
                <w:numId w:val="1"/>
              </w:numPr>
              <w:rPr>
                <w:color w:val="202124"/>
              </w:rPr>
            </w:pPr>
            <w:r>
              <w:rPr>
                <w:color w:val="202124"/>
              </w:rPr>
              <w:t>Partnered with CHHS to offer 3 sessions for faculty and staff members</w:t>
            </w:r>
          </w:p>
          <w:p w:rsidR="007C49B2" w:rsidRDefault="007C49B2">
            <w:pPr>
              <w:ind w:left="720"/>
              <w:rPr>
                <w:color w:val="202124"/>
              </w:rPr>
            </w:pPr>
          </w:p>
          <w:p w:rsidR="007C49B2" w:rsidRDefault="008E2A33">
            <w:pPr>
              <w:numPr>
                <w:ilvl w:val="0"/>
                <w:numId w:val="1"/>
              </w:numPr>
              <w:rPr>
                <w:color w:val="202124"/>
              </w:rPr>
            </w:pPr>
            <w:r>
              <w:rPr>
                <w:color w:val="202124"/>
              </w:rPr>
              <w:t>Partnership with LOD to offer program as part of Professional Administrator Certification (PAC)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9B2" w:rsidRDefault="008E2A33">
            <w:pPr>
              <w:numPr>
                <w:ilvl w:val="0"/>
                <w:numId w:val="1"/>
              </w:numPr>
              <w:rPr>
                <w:color w:val="202124"/>
              </w:rPr>
            </w:pPr>
            <w:r>
              <w:rPr>
                <w:color w:val="202124"/>
              </w:rPr>
              <w:t>Program launched in January 2021 through support of UNC System Office</w:t>
            </w:r>
          </w:p>
          <w:p w:rsidR="007C49B2" w:rsidRDefault="007C49B2">
            <w:pPr>
              <w:rPr>
                <w:color w:val="202124"/>
              </w:rPr>
            </w:pPr>
          </w:p>
          <w:p w:rsidR="007C49B2" w:rsidRDefault="008E2A33">
            <w:pPr>
              <w:numPr>
                <w:ilvl w:val="0"/>
                <w:numId w:val="1"/>
              </w:numPr>
              <w:rPr>
                <w:color w:val="202124"/>
              </w:rPr>
            </w:pPr>
            <w:r>
              <w:rPr>
                <w:color w:val="202124"/>
              </w:rPr>
              <w:t>Partn</w:t>
            </w:r>
            <w:r>
              <w:rPr>
                <w:color w:val="202124"/>
              </w:rPr>
              <w:t>ership with LOD to offer program as part of Professional Administrator Certification (PAC)</w:t>
            </w:r>
          </w:p>
        </w:tc>
      </w:tr>
    </w:tbl>
    <w:p w:rsidR="007C49B2" w:rsidRDefault="007C49B2"/>
    <w:sectPr w:rsidR="007C49B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2A33">
      <w:pPr>
        <w:spacing w:line="240" w:lineRule="auto"/>
      </w:pPr>
      <w:r>
        <w:separator/>
      </w:r>
    </w:p>
  </w:endnote>
  <w:endnote w:type="continuationSeparator" w:id="0">
    <w:p w:rsidR="00000000" w:rsidRDefault="008E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2A33">
      <w:pPr>
        <w:spacing w:line="240" w:lineRule="auto"/>
      </w:pPr>
      <w:r>
        <w:separator/>
      </w:r>
    </w:p>
  </w:footnote>
  <w:footnote w:type="continuationSeparator" w:id="0">
    <w:p w:rsidR="00000000" w:rsidRDefault="008E2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B2" w:rsidRDefault="008E2A33">
    <w:pPr>
      <w:jc w:val="center"/>
    </w:pPr>
    <w:r>
      <w:rPr>
        <w:noProof/>
      </w:rPr>
      <w:drawing>
        <wp:inline distT="114300" distB="114300" distL="114300" distR="114300">
          <wp:extent cx="3924300" cy="158465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4300" cy="1584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3E9A"/>
    <w:multiLevelType w:val="multilevel"/>
    <w:tmpl w:val="B2F2A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51928"/>
    <w:multiLevelType w:val="multilevel"/>
    <w:tmpl w:val="75CEF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B2"/>
    <w:rsid w:val="007C49B2"/>
    <w:rsid w:val="008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F89F8-BE68-49C6-B864-42ECB949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Wyse</dc:creator>
  <cp:lastModifiedBy>Matt Wyse</cp:lastModifiedBy>
  <cp:revision>2</cp:revision>
  <dcterms:created xsi:type="dcterms:W3CDTF">2022-08-29T18:04:00Z</dcterms:created>
  <dcterms:modified xsi:type="dcterms:W3CDTF">2022-08-29T18:04:00Z</dcterms:modified>
</cp:coreProperties>
</file>